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D7" w:rsidRPr="00B55415" w:rsidRDefault="0000427E" w:rsidP="00B55415">
      <w:pPr>
        <w:shd w:val="clear" w:color="auto" w:fill="FFFFFF"/>
        <w:spacing w:before="120" w:after="24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5C0663">
        <w:rPr>
          <w:rFonts w:ascii="Arial" w:hAnsi="Arial"/>
        </w:rPr>
        <w:t>06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C97A8C">
        <w:rPr>
          <w:rFonts w:ascii="Arial" w:hAnsi="Arial" w:cs="Arial"/>
        </w:rPr>
        <w:t>09</w:t>
      </w:r>
      <w:r w:rsidR="005C0663">
        <w:rPr>
          <w:rFonts w:ascii="Arial" w:hAnsi="Arial" w:cs="Arial"/>
        </w:rPr>
        <w:t>.03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B55415" w:rsidRDefault="00B55415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B55415" w:rsidRPr="00BB2F04" w:rsidRDefault="00CF37C0" w:rsidP="00B55415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5C0663" w:rsidRDefault="00CF37C0" w:rsidP="005C0663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bCs/>
          <w:spacing w:val="-3"/>
          <w:sz w:val="24"/>
          <w:szCs w:val="24"/>
        </w:rPr>
      </w:pPr>
      <w:r w:rsidRPr="00C501A8">
        <w:rPr>
          <w:b/>
          <w:bCs/>
          <w:spacing w:val="-3"/>
          <w:sz w:val="24"/>
          <w:szCs w:val="24"/>
        </w:rPr>
        <w:t>Zapras</w:t>
      </w:r>
      <w:r w:rsidR="00C04D29">
        <w:rPr>
          <w:b/>
          <w:bCs/>
          <w:spacing w:val="-3"/>
          <w:sz w:val="24"/>
          <w:szCs w:val="24"/>
        </w:rPr>
        <w:t xml:space="preserve">za do złożenia ofert cenowych na </w:t>
      </w:r>
      <w:r w:rsidR="005C0663" w:rsidRPr="005C0663">
        <w:rPr>
          <w:b/>
          <w:bCs/>
          <w:spacing w:val="-3"/>
          <w:sz w:val="24"/>
          <w:szCs w:val="24"/>
        </w:rPr>
        <w:t>Dostawa materiałów biurowych, druków medycznych - podział na części</w:t>
      </w:r>
    </w:p>
    <w:p w:rsidR="00C501A8" w:rsidRDefault="00CF37C0" w:rsidP="005C0663">
      <w:pPr>
        <w:shd w:val="clear" w:color="auto" w:fill="FFFFFF"/>
        <w:tabs>
          <w:tab w:val="left" w:leader="underscore" w:pos="9461"/>
        </w:tabs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8B4B89" w:rsidRPr="00192579" w:rsidRDefault="008B4B89" w:rsidP="008B4B89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Specyfika głównych wymagań:</w:t>
      </w:r>
    </w:p>
    <w:p w:rsidR="008B4B89" w:rsidRPr="00192579" w:rsidRDefault="008B4B89" w:rsidP="008B4B89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>Przedmiot z</w:t>
      </w:r>
      <w:r w:rsidR="005F3EC1">
        <w:rPr>
          <w:rFonts w:eastAsia="Calibri"/>
          <w:sz w:val="24"/>
          <w:szCs w:val="24"/>
          <w:lang w:eastAsia="en-US"/>
        </w:rPr>
        <w:t xml:space="preserve">amówienia został podzielony na 2 </w:t>
      </w:r>
      <w:r w:rsidRPr="00192579">
        <w:rPr>
          <w:rFonts w:eastAsia="Calibri"/>
          <w:sz w:val="24"/>
          <w:szCs w:val="24"/>
          <w:lang w:eastAsia="en-US"/>
        </w:rPr>
        <w:t>części:</w:t>
      </w:r>
    </w:p>
    <w:p w:rsidR="008B4B89" w:rsidRPr="00192579" w:rsidRDefault="008B4B89" w:rsidP="008B4B8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1: druki medyczne, </w:t>
      </w:r>
    </w:p>
    <w:p w:rsidR="008B4B89" w:rsidRPr="00192579" w:rsidRDefault="008B4B89" w:rsidP="008B4B8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 xml:space="preserve">część nr 2: materiały biurowe, </w:t>
      </w:r>
    </w:p>
    <w:p w:rsidR="008B4B89" w:rsidRPr="00192579" w:rsidRDefault="008B4B89" w:rsidP="008B4B89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192579">
        <w:rPr>
          <w:rFonts w:eastAsia="Calibri"/>
          <w:sz w:val="24"/>
          <w:szCs w:val="24"/>
          <w:lang w:eastAsia="en-US"/>
        </w:rPr>
        <w:t>szczegółowo opisane w załączniku nr  2 do niniejszego zaproszenia.</w:t>
      </w:r>
    </w:p>
    <w:p w:rsidR="008B4B89" w:rsidRPr="00192579" w:rsidRDefault="008B4B89" w:rsidP="008B4B89">
      <w:pPr>
        <w:widowControl/>
        <w:numPr>
          <w:ilvl w:val="0"/>
          <w:numId w:val="2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8B4B89" w:rsidRPr="00192579" w:rsidRDefault="008B4B89" w:rsidP="008B4B89">
      <w:pPr>
        <w:widowControl/>
        <w:numPr>
          <w:ilvl w:val="0"/>
          <w:numId w:val="2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8B4B89" w:rsidRPr="00192579" w:rsidRDefault="008B4B89" w:rsidP="008B4B89">
      <w:pPr>
        <w:widowControl/>
        <w:numPr>
          <w:ilvl w:val="0"/>
          <w:numId w:val="2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8B4B89" w:rsidRPr="00192579" w:rsidRDefault="008B4B89" w:rsidP="008B4B89">
      <w:pPr>
        <w:widowControl/>
        <w:numPr>
          <w:ilvl w:val="1"/>
          <w:numId w:val="2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8B4B89" w:rsidRPr="00192579" w:rsidRDefault="008B4B89" w:rsidP="008B4B89">
      <w:pPr>
        <w:pStyle w:val="Akapitzlist"/>
        <w:widowControl/>
        <w:numPr>
          <w:ilvl w:val="0"/>
          <w:numId w:val="2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8B4B89" w:rsidRPr="00192579" w:rsidRDefault="008B4B89" w:rsidP="008B4B89">
      <w:pPr>
        <w:pStyle w:val="Akapitzlist"/>
        <w:widowControl/>
        <w:numPr>
          <w:ilvl w:val="0"/>
          <w:numId w:val="2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>Miejsce realizacji: Magazyn Zamawiającego</w:t>
      </w:r>
    </w:p>
    <w:p w:rsidR="008B4B89" w:rsidRPr="00192579" w:rsidRDefault="008B4B89" w:rsidP="008B4B89">
      <w:pPr>
        <w:widowControl/>
        <w:autoSpaceDE/>
        <w:autoSpaceDN/>
        <w:adjustRightInd/>
        <w:ind w:left="426" w:hanging="426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92579">
        <w:rPr>
          <w:rFonts w:eastAsia="Calibri"/>
          <w:bCs/>
          <w:iCs/>
          <w:sz w:val="24"/>
          <w:szCs w:val="24"/>
          <w:lang w:eastAsia="en-US"/>
        </w:rPr>
        <w:t>2.  Termin wykonania zamówienia:</w:t>
      </w:r>
      <w:r w:rsidRPr="00192579">
        <w:rPr>
          <w:sz w:val="24"/>
          <w:szCs w:val="24"/>
        </w:rPr>
        <w:t xml:space="preserve"> </w:t>
      </w:r>
      <w:r w:rsidRPr="00192579">
        <w:rPr>
          <w:rFonts w:eastAsia="Calibri"/>
          <w:bCs/>
          <w:iCs/>
          <w:sz w:val="24"/>
          <w:szCs w:val="24"/>
          <w:lang w:eastAsia="en-US"/>
        </w:rPr>
        <w:t xml:space="preserve">sukcesywnie </w:t>
      </w:r>
      <w:r w:rsidRPr="00192579">
        <w:rPr>
          <w:rFonts w:eastAsia="Calibri"/>
          <w:b/>
          <w:bCs/>
          <w:iCs/>
          <w:sz w:val="24"/>
          <w:szCs w:val="24"/>
          <w:lang w:eastAsia="en-US"/>
        </w:rPr>
        <w:t>przez okres 12 miesięcy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od daty zawarcia </w:t>
      </w:r>
      <w:r w:rsidRPr="00192579">
        <w:rPr>
          <w:rFonts w:eastAsia="Calibri"/>
          <w:bCs/>
          <w:iCs/>
          <w:sz w:val="24"/>
          <w:szCs w:val="24"/>
          <w:lang w:eastAsia="en-US"/>
        </w:rPr>
        <w:t>umowy</w:t>
      </w:r>
    </w:p>
    <w:p w:rsidR="008B4B89" w:rsidRPr="00192579" w:rsidRDefault="008B4B89" w:rsidP="008B4B89">
      <w:pPr>
        <w:numPr>
          <w:ilvl w:val="0"/>
          <w:numId w:val="30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jc w:val="both"/>
        <w:rPr>
          <w:sz w:val="24"/>
          <w:szCs w:val="24"/>
        </w:rPr>
      </w:pPr>
      <w:r w:rsidRPr="00192579">
        <w:rPr>
          <w:sz w:val="24"/>
          <w:szCs w:val="24"/>
        </w:rPr>
        <w:t xml:space="preserve"> Wzór umowy stanowi załącznik nr 3 do niniejszego zaproszenia.</w:t>
      </w:r>
    </w:p>
    <w:p w:rsidR="008B4B89" w:rsidRPr="008B4B89" w:rsidRDefault="008B4B89" w:rsidP="005C0663">
      <w:pPr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after="240"/>
        <w:ind w:left="374" w:hanging="357"/>
        <w:jc w:val="both"/>
        <w:rPr>
          <w:sz w:val="24"/>
          <w:szCs w:val="24"/>
        </w:rPr>
      </w:pPr>
      <w:r w:rsidRPr="00192579">
        <w:rPr>
          <w:sz w:val="24"/>
          <w:szCs w:val="24"/>
        </w:rPr>
        <w:t>Termin związania ofertą wynosi 30 dni liczonych od upływu terminu składania ofert.</w:t>
      </w: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320198" w:rsidRPr="00320198" w:rsidRDefault="00320198" w:rsidP="00320198">
      <w:pPr>
        <w:pStyle w:val="Akapitzlist"/>
        <w:numPr>
          <w:ilvl w:val="1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726B0B" w:rsidRDefault="00726B0B" w:rsidP="00D8227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726B0B" w:rsidRDefault="00D6542F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838BD">
        <w:rPr>
          <w:sz w:val="24"/>
          <w:szCs w:val="24"/>
        </w:rPr>
        <w:t xml:space="preserve">) </w:t>
      </w:r>
      <w:r w:rsidR="00726B0B" w:rsidRPr="007F6356">
        <w:rPr>
          <w:sz w:val="24"/>
          <w:szCs w:val="24"/>
        </w:rPr>
        <w:t>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D6542F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D0484E" w:rsidRDefault="00D0484E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D0484E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D0484E" w:rsidRDefault="00D0484E" w:rsidP="00D0484E">
      <w:pPr>
        <w:shd w:val="clear" w:color="auto" w:fill="FFFFFF"/>
        <w:tabs>
          <w:tab w:val="left" w:leader="underscore" w:pos="9461"/>
        </w:tabs>
        <w:spacing w:before="60" w:line="276" w:lineRule="auto"/>
        <w:ind w:left="379"/>
        <w:jc w:val="both"/>
        <w:rPr>
          <w:sz w:val="24"/>
          <w:szCs w:val="24"/>
        </w:rPr>
      </w:pP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lastRenderedPageBreak/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pracy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3F431D">
      <w:pPr>
        <w:shd w:val="clear" w:color="auto" w:fill="FFFFFF"/>
        <w:tabs>
          <w:tab w:val="left" w:leader="underscore" w:pos="9461"/>
        </w:tabs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C97A8C">
        <w:rPr>
          <w:b/>
          <w:sz w:val="24"/>
          <w:szCs w:val="24"/>
          <w:u w:val="single"/>
        </w:rPr>
        <w:t>15</w:t>
      </w:r>
      <w:r w:rsidR="002C615D">
        <w:rPr>
          <w:b/>
          <w:sz w:val="24"/>
          <w:szCs w:val="24"/>
          <w:u w:val="single"/>
        </w:rPr>
        <w:t>.03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C04D29" w:rsidRDefault="00136B5B" w:rsidP="00C04D29">
      <w:pPr>
        <w:shd w:val="clear" w:color="auto" w:fill="FFFFFF"/>
        <w:tabs>
          <w:tab w:val="left" w:leader="underscore" w:pos="9461"/>
        </w:tabs>
        <w:spacing w:line="360" w:lineRule="auto"/>
        <w:ind w:left="426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  <w:r w:rsidR="000B6D90">
        <w:rPr>
          <w:sz w:val="24"/>
          <w:szCs w:val="24"/>
        </w:rPr>
        <w:t xml:space="preserve"> </w:t>
      </w:r>
    </w:p>
    <w:p w:rsidR="00136B5B" w:rsidRPr="00136B5B" w:rsidRDefault="00CA2FE1" w:rsidP="00C04D29">
      <w:pPr>
        <w:shd w:val="clear" w:color="auto" w:fill="FFFFFF"/>
        <w:tabs>
          <w:tab w:val="left" w:leader="underscore" w:pos="9461"/>
        </w:tabs>
        <w:spacing w:line="360" w:lineRule="auto"/>
        <w:ind w:left="426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811D7D" w:rsidRPr="00811D7D">
        <w:rPr>
          <w:iCs/>
          <w:sz w:val="24"/>
          <w:szCs w:val="24"/>
        </w:rPr>
        <w:t>Dostawa materiałów biurowych, druków medycznych - podział na części</w:t>
      </w:r>
      <w:bookmarkStart w:id="0" w:name="_GoBack"/>
      <w:bookmarkEnd w:id="0"/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0B6D90">
        <w:rPr>
          <w:sz w:val="24"/>
          <w:szCs w:val="24"/>
        </w:rPr>
        <w:t xml:space="preserve"> </w:t>
      </w:r>
      <w:r w:rsidR="00C97A8C">
        <w:rPr>
          <w:sz w:val="24"/>
          <w:szCs w:val="24"/>
        </w:rPr>
        <w:t>15</w:t>
      </w:r>
      <w:r w:rsidR="002C615D">
        <w:rPr>
          <w:sz w:val="24"/>
          <w:szCs w:val="24"/>
        </w:rPr>
        <w:t>.03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C97A8C">
        <w:rPr>
          <w:b/>
          <w:sz w:val="24"/>
          <w:szCs w:val="24"/>
          <w:u w:val="single"/>
        </w:rPr>
        <w:t>15</w:t>
      </w:r>
      <w:r w:rsidR="002C615D">
        <w:rPr>
          <w:b/>
          <w:sz w:val="24"/>
          <w:szCs w:val="24"/>
          <w:u w:val="single"/>
        </w:rPr>
        <w:t>.03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 xml:space="preserve">VIII. Informacje o formalnościach </w:t>
      </w:r>
    </w:p>
    <w:p w:rsidR="00D160A4" w:rsidRPr="00D160A4" w:rsidRDefault="00B03B00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się: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</w:t>
      </w:r>
      <w:r w:rsidRPr="00D160A4">
        <w:rPr>
          <w:sz w:val="24"/>
          <w:szCs w:val="24"/>
        </w:rPr>
        <w:lastRenderedPageBreak/>
        <w:t xml:space="preserve">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B03B00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B03B00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B03B00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w rozumieniu art. 3 ust. 1 pkt 37 ustawy z dnia 29 </w:t>
      </w:r>
      <w:r w:rsidR="00B03B00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B03B00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B03B00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B03B00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B03B00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B03B00" w:rsidRPr="00D160A4">
        <w:rPr>
          <w:sz w:val="24"/>
          <w:szCs w:val="24"/>
        </w:rPr>
        <w:t>dominującą</w:t>
      </w:r>
      <w:r w:rsidRPr="00D160A4">
        <w:rPr>
          <w:sz w:val="24"/>
          <w:szCs w:val="24"/>
        </w:rPr>
        <w:t xml:space="preserve">̨ od dnia 24 lutego 2022 r., o ile został wpisany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B03B00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B03B00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B03B00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B03B00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F33170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F33170" w:rsidRPr="00F33170">
        <w:rPr>
          <w:rFonts w:eastAsia="HG Mincho Light J"/>
          <w:bCs/>
          <w:iCs/>
          <w:sz w:val="24"/>
          <w:szCs w:val="24"/>
        </w:rPr>
        <w:t>Dostawa materiałów biurowych, druków medycznych - podział na części</w:t>
      </w:r>
      <w:r w:rsidR="00C04D29" w:rsidRPr="00C04D29">
        <w:rPr>
          <w:rFonts w:eastAsia="HG Mincho Light J"/>
          <w:bCs/>
          <w:iCs/>
          <w:sz w:val="24"/>
          <w:szCs w:val="24"/>
        </w:rPr>
        <w:t>”</w:t>
      </w:r>
      <w:r w:rsidR="00B827CA" w:rsidRPr="00B827CA">
        <w:rPr>
          <w:rFonts w:eastAsia="HG Mincho Light J"/>
          <w:bCs/>
          <w:iCs/>
          <w:sz w:val="24"/>
          <w:szCs w:val="24"/>
        </w:rPr>
        <w:t xml:space="preserve"> </w:t>
      </w:r>
      <w:r w:rsidRPr="00D160A4">
        <w:rPr>
          <w:rFonts w:eastAsia="HG Mincho Light J"/>
          <w:bCs/>
          <w:sz w:val="24"/>
          <w:szCs w:val="24"/>
        </w:rPr>
        <w:t>numer SPZOZ.IINZZP.26</w:t>
      </w:r>
      <w:r w:rsidR="00F33170">
        <w:rPr>
          <w:rFonts w:eastAsia="HG Mincho Light J"/>
          <w:bCs/>
          <w:sz w:val="24"/>
          <w:szCs w:val="24"/>
        </w:rPr>
        <w:t>0/06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będą przechowywane,, przez okres 4 lat od dnia zakończenia postępowania o udzielenie zamówienia, a jeżeli czas trwania umowy przekracza 4 lata, </w:t>
      </w:r>
      <w:r w:rsidRPr="00D160A4">
        <w:rPr>
          <w:rFonts w:eastAsia="HG Mincho Light J"/>
          <w:bCs/>
          <w:sz w:val="24"/>
          <w:szCs w:val="24"/>
        </w:rPr>
        <w:lastRenderedPageBreak/>
        <w:t>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CC1C7E" w:rsidRDefault="005A7453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Wzór umowy</w:t>
      </w:r>
      <w:r w:rsidR="00C53DE6" w:rsidRPr="0062284D">
        <w:rPr>
          <w:sz w:val="24"/>
          <w:szCs w:val="24"/>
        </w:rPr>
        <w:t xml:space="preserve">                     </w:t>
      </w:r>
    </w:p>
    <w:p w:rsidR="00CC1C7E" w:rsidRDefault="00CC1C7E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CE2AA4" w:rsidRDefault="00CE2AA4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3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22"/>
  </w:num>
  <w:num w:numId="5">
    <w:abstractNumId w:val="11"/>
  </w:num>
  <w:num w:numId="6">
    <w:abstractNumId w:val="2"/>
  </w:num>
  <w:num w:numId="7">
    <w:abstractNumId w:val="16"/>
  </w:num>
  <w:num w:numId="8">
    <w:abstractNumId w:val="10"/>
  </w:num>
  <w:num w:numId="9">
    <w:abstractNumId w:val="6"/>
  </w:num>
  <w:num w:numId="10">
    <w:abstractNumId w:val="14"/>
  </w:num>
  <w:num w:numId="11">
    <w:abstractNumId w:val="19"/>
  </w:num>
  <w:num w:numId="12">
    <w:abstractNumId w:val="23"/>
  </w:num>
  <w:num w:numId="13">
    <w:abstractNumId w:val="2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5"/>
  </w:num>
  <w:num w:numId="20">
    <w:abstractNumId w:val="0"/>
  </w:num>
  <w:num w:numId="21">
    <w:abstractNumId w:val="20"/>
  </w:num>
  <w:num w:numId="22">
    <w:abstractNumId w:val="25"/>
  </w:num>
  <w:num w:numId="23">
    <w:abstractNumId w:val="13"/>
  </w:num>
  <w:num w:numId="24">
    <w:abstractNumId w:val="8"/>
  </w:num>
  <w:num w:numId="25">
    <w:abstractNumId w:val="12"/>
  </w:num>
  <w:num w:numId="26">
    <w:abstractNumId w:val="28"/>
  </w:num>
  <w:num w:numId="27">
    <w:abstractNumId w:val="27"/>
  </w:num>
  <w:num w:numId="28">
    <w:abstractNumId w:val="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D67"/>
    <w:rsid w:val="0003563D"/>
    <w:rsid w:val="00053E4D"/>
    <w:rsid w:val="00055050"/>
    <w:rsid w:val="0005714B"/>
    <w:rsid w:val="000650D5"/>
    <w:rsid w:val="00071495"/>
    <w:rsid w:val="00096DFD"/>
    <w:rsid w:val="000A716C"/>
    <w:rsid w:val="000B1D12"/>
    <w:rsid w:val="000B3F3B"/>
    <w:rsid w:val="000B6D90"/>
    <w:rsid w:val="000C1B74"/>
    <w:rsid w:val="000D21BD"/>
    <w:rsid w:val="000D2AB5"/>
    <w:rsid w:val="000E5D46"/>
    <w:rsid w:val="000F69A6"/>
    <w:rsid w:val="001078A5"/>
    <w:rsid w:val="00110D26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1F61"/>
    <w:rsid w:val="001736CD"/>
    <w:rsid w:val="0017491D"/>
    <w:rsid w:val="0018645F"/>
    <w:rsid w:val="001925F5"/>
    <w:rsid w:val="00193184"/>
    <w:rsid w:val="001A4FD7"/>
    <w:rsid w:val="001E4837"/>
    <w:rsid w:val="001F0D24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2A4C"/>
    <w:rsid w:val="0025570A"/>
    <w:rsid w:val="002573A2"/>
    <w:rsid w:val="00260E62"/>
    <w:rsid w:val="00275EDB"/>
    <w:rsid w:val="0028366C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15D"/>
    <w:rsid w:val="002C65C6"/>
    <w:rsid w:val="002C78DB"/>
    <w:rsid w:val="002D0BE8"/>
    <w:rsid w:val="002D34AB"/>
    <w:rsid w:val="002E0F41"/>
    <w:rsid w:val="002E7AD3"/>
    <w:rsid w:val="002F0E86"/>
    <w:rsid w:val="002F35CF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4034"/>
    <w:rsid w:val="003552D5"/>
    <w:rsid w:val="0037455C"/>
    <w:rsid w:val="003767D5"/>
    <w:rsid w:val="003841E8"/>
    <w:rsid w:val="003911ED"/>
    <w:rsid w:val="00392DE6"/>
    <w:rsid w:val="003A47DA"/>
    <w:rsid w:val="003A6F45"/>
    <w:rsid w:val="003A7176"/>
    <w:rsid w:val="003A773F"/>
    <w:rsid w:val="003B25D1"/>
    <w:rsid w:val="003C1427"/>
    <w:rsid w:val="003C5B25"/>
    <w:rsid w:val="003D0F3E"/>
    <w:rsid w:val="003D1616"/>
    <w:rsid w:val="003D76B4"/>
    <w:rsid w:val="003E1FAE"/>
    <w:rsid w:val="003F431D"/>
    <w:rsid w:val="0040075D"/>
    <w:rsid w:val="0040352E"/>
    <w:rsid w:val="004120E5"/>
    <w:rsid w:val="00414EE8"/>
    <w:rsid w:val="00415FB8"/>
    <w:rsid w:val="00434B8D"/>
    <w:rsid w:val="00447C39"/>
    <w:rsid w:val="00447DC9"/>
    <w:rsid w:val="00477294"/>
    <w:rsid w:val="00484BC3"/>
    <w:rsid w:val="00487968"/>
    <w:rsid w:val="004A2358"/>
    <w:rsid w:val="004A6AE5"/>
    <w:rsid w:val="004B1105"/>
    <w:rsid w:val="004B1CA6"/>
    <w:rsid w:val="004C68A8"/>
    <w:rsid w:val="004D0B4D"/>
    <w:rsid w:val="004F546A"/>
    <w:rsid w:val="004F6598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C0663"/>
    <w:rsid w:val="005C41DB"/>
    <w:rsid w:val="005D1ABA"/>
    <w:rsid w:val="005D5D33"/>
    <w:rsid w:val="005E37EA"/>
    <w:rsid w:val="005F166D"/>
    <w:rsid w:val="005F3EC1"/>
    <w:rsid w:val="005F6620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47872"/>
    <w:rsid w:val="00671066"/>
    <w:rsid w:val="00674FCD"/>
    <w:rsid w:val="00676560"/>
    <w:rsid w:val="00683785"/>
    <w:rsid w:val="00683CDE"/>
    <w:rsid w:val="00685172"/>
    <w:rsid w:val="0068610D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642E6"/>
    <w:rsid w:val="007815E8"/>
    <w:rsid w:val="00784D9A"/>
    <w:rsid w:val="00784FCE"/>
    <w:rsid w:val="007857DB"/>
    <w:rsid w:val="0079224A"/>
    <w:rsid w:val="00794D86"/>
    <w:rsid w:val="007A1C59"/>
    <w:rsid w:val="007B1C73"/>
    <w:rsid w:val="007B73E3"/>
    <w:rsid w:val="007C09C5"/>
    <w:rsid w:val="007C40F3"/>
    <w:rsid w:val="007D05F1"/>
    <w:rsid w:val="007F328E"/>
    <w:rsid w:val="0080134E"/>
    <w:rsid w:val="0080365A"/>
    <w:rsid w:val="00811426"/>
    <w:rsid w:val="00811D7D"/>
    <w:rsid w:val="00815767"/>
    <w:rsid w:val="00824266"/>
    <w:rsid w:val="00837FF3"/>
    <w:rsid w:val="00850C16"/>
    <w:rsid w:val="00853845"/>
    <w:rsid w:val="0085603E"/>
    <w:rsid w:val="00897F98"/>
    <w:rsid w:val="008A29A0"/>
    <w:rsid w:val="008B0264"/>
    <w:rsid w:val="008B0C5A"/>
    <w:rsid w:val="008B2075"/>
    <w:rsid w:val="008B4B89"/>
    <w:rsid w:val="008C4FF9"/>
    <w:rsid w:val="008C6367"/>
    <w:rsid w:val="008D223D"/>
    <w:rsid w:val="008D39E8"/>
    <w:rsid w:val="008D5846"/>
    <w:rsid w:val="008E1E33"/>
    <w:rsid w:val="008E625A"/>
    <w:rsid w:val="008E6A87"/>
    <w:rsid w:val="008F1852"/>
    <w:rsid w:val="00904E2F"/>
    <w:rsid w:val="00904E7F"/>
    <w:rsid w:val="00915E1F"/>
    <w:rsid w:val="0091663D"/>
    <w:rsid w:val="00921832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B6F6D"/>
    <w:rsid w:val="009C040E"/>
    <w:rsid w:val="009D07B1"/>
    <w:rsid w:val="009D239F"/>
    <w:rsid w:val="009E375D"/>
    <w:rsid w:val="009F405D"/>
    <w:rsid w:val="009F625B"/>
    <w:rsid w:val="00A000A0"/>
    <w:rsid w:val="00A21A2E"/>
    <w:rsid w:val="00A52ED3"/>
    <w:rsid w:val="00A56815"/>
    <w:rsid w:val="00A56E42"/>
    <w:rsid w:val="00A629B5"/>
    <w:rsid w:val="00A64382"/>
    <w:rsid w:val="00A656E1"/>
    <w:rsid w:val="00A72A83"/>
    <w:rsid w:val="00A72C27"/>
    <w:rsid w:val="00A732E9"/>
    <w:rsid w:val="00A97F6A"/>
    <w:rsid w:val="00AA5F86"/>
    <w:rsid w:val="00AB2331"/>
    <w:rsid w:val="00AB2597"/>
    <w:rsid w:val="00AB4E8B"/>
    <w:rsid w:val="00AD7FC6"/>
    <w:rsid w:val="00AF2A20"/>
    <w:rsid w:val="00B0270F"/>
    <w:rsid w:val="00B03B00"/>
    <w:rsid w:val="00B121CD"/>
    <w:rsid w:val="00B428F2"/>
    <w:rsid w:val="00B45678"/>
    <w:rsid w:val="00B46CA7"/>
    <w:rsid w:val="00B54E7F"/>
    <w:rsid w:val="00B55415"/>
    <w:rsid w:val="00B5794C"/>
    <w:rsid w:val="00B71BBF"/>
    <w:rsid w:val="00B72EC8"/>
    <w:rsid w:val="00B76AC4"/>
    <w:rsid w:val="00B809BD"/>
    <w:rsid w:val="00B827CA"/>
    <w:rsid w:val="00B838BD"/>
    <w:rsid w:val="00B96EAA"/>
    <w:rsid w:val="00BA04A0"/>
    <w:rsid w:val="00BA18F2"/>
    <w:rsid w:val="00BA3D27"/>
    <w:rsid w:val="00BA5F19"/>
    <w:rsid w:val="00BB2F04"/>
    <w:rsid w:val="00BB446C"/>
    <w:rsid w:val="00BB4861"/>
    <w:rsid w:val="00BC3340"/>
    <w:rsid w:val="00BD18F6"/>
    <w:rsid w:val="00BD54D0"/>
    <w:rsid w:val="00BD65DE"/>
    <w:rsid w:val="00C04D29"/>
    <w:rsid w:val="00C10FD9"/>
    <w:rsid w:val="00C133E6"/>
    <w:rsid w:val="00C16C9A"/>
    <w:rsid w:val="00C21F22"/>
    <w:rsid w:val="00C30905"/>
    <w:rsid w:val="00C40314"/>
    <w:rsid w:val="00C41362"/>
    <w:rsid w:val="00C50144"/>
    <w:rsid w:val="00C501A8"/>
    <w:rsid w:val="00C526D3"/>
    <w:rsid w:val="00C53DE6"/>
    <w:rsid w:val="00C56DA7"/>
    <w:rsid w:val="00C80941"/>
    <w:rsid w:val="00C8345C"/>
    <w:rsid w:val="00C834D3"/>
    <w:rsid w:val="00C868AF"/>
    <w:rsid w:val="00C912C4"/>
    <w:rsid w:val="00C93AE3"/>
    <w:rsid w:val="00C97A8C"/>
    <w:rsid w:val="00CA0345"/>
    <w:rsid w:val="00CA2FE1"/>
    <w:rsid w:val="00CA3501"/>
    <w:rsid w:val="00CA469B"/>
    <w:rsid w:val="00CA4D57"/>
    <w:rsid w:val="00CB09C1"/>
    <w:rsid w:val="00CC008C"/>
    <w:rsid w:val="00CC0294"/>
    <w:rsid w:val="00CC0628"/>
    <w:rsid w:val="00CC1A29"/>
    <w:rsid w:val="00CC1C7E"/>
    <w:rsid w:val="00CC2479"/>
    <w:rsid w:val="00CC53BC"/>
    <w:rsid w:val="00CC6CC5"/>
    <w:rsid w:val="00CD170E"/>
    <w:rsid w:val="00CD7AF3"/>
    <w:rsid w:val="00CE1F31"/>
    <w:rsid w:val="00CE2AA4"/>
    <w:rsid w:val="00CE5D2E"/>
    <w:rsid w:val="00CF1B6B"/>
    <w:rsid w:val="00CF31D7"/>
    <w:rsid w:val="00CF37C0"/>
    <w:rsid w:val="00CF3F1B"/>
    <w:rsid w:val="00CF594F"/>
    <w:rsid w:val="00D00756"/>
    <w:rsid w:val="00D02352"/>
    <w:rsid w:val="00D030A7"/>
    <w:rsid w:val="00D0484E"/>
    <w:rsid w:val="00D04F38"/>
    <w:rsid w:val="00D160A4"/>
    <w:rsid w:val="00D17553"/>
    <w:rsid w:val="00D2421D"/>
    <w:rsid w:val="00D42523"/>
    <w:rsid w:val="00D429DD"/>
    <w:rsid w:val="00D6542F"/>
    <w:rsid w:val="00D73744"/>
    <w:rsid w:val="00D74711"/>
    <w:rsid w:val="00D80ED3"/>
    <w:rsid w:val="00D8227B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55A"/>
    <w:rsid w:val="00EA6E10"/>
    <w:rsid w:val="00EB47FD"/>
    <w:rsid w:val="00EC0F76"/>
    <w:rsid w:val="00EC3B4B"/>
    <w:rsid w:val="00EC6369"/>
    <w:rsid w:val="00EC677D"/>
    <w:rsid w:val="00ED4B00"/>
    <w:rsid w:val="00EE4B7F"/>
    <w:rsid w:val="00EF4DA5"/>
    <w:rsid w:val="00F02078"/>
    <w:rsid w:val="00F021F2"/>
    <w:rsid w:val="00F029EA"/>
    <w:rsid w:val="00F0453A"/>
    <w:rsid w:val="00F151AF"/>
    <w:rsid w:val="00F33170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F878-7631-46CE-910F-6B0DB5F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978</cp:revision>
  <cp:lastPrinted>2023-03-08T09:33:00Z</cp:lastPrinted>
  <dcterms:created xsi:type="dcterms:W3CDTF">2019-08-05T07:28:00Z</dcterms:created>
  <dcterms:modified xsi:type="dcterms:W3CDTF">2023-03-09T09:39:00Z</dcterms:modified>
</cp:coreProperties>
</file>