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7" w:rsidRPr="002F5ADA" w:rsidRDefault="0000427E" w:rsidP="002F5ADA">
      <w:pPr>
        <w:shd w:val="clear" w:color="auto" w:fill="FFFFFF"/>
        <w:spacing w:before="120" w:after="24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9C3BA6">
        <w:rPr>
          <w:rFonts w:ascii="Arial" w:hAnsi="Arial"/>
        </w:rPr>
        <w:t>23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3C1BC7">
        <w:rPr>
          <w:rFonts w:ascii="Arial" w:hAnsi="Arial" w:cs="Arial"/>
        </w:rPr>
        <w:t>06</w:t>
      </w:r>
      <w:r w:rsidR="007A2C71">
        <w:rPr>
          <w:rFonts w:ascii="Arial" w:hAnsi="Arial" w:cs="Arial"/>
        </w:rPr>
        <w:t>.07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C1C7E" w:rsidRPr="00BB2F04" w:rsidRDefault="00CF37C0" w:rsidP="00647872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68610D" w:rsidRPr="0068610D" w:rsidRDefault="00CF37C0" w:rsidP="0068610D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bCs/>
          <w:iCs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</w:t>
      </w:r>
      <w:r w:rsidR="00AC3FE6">
        <w:rPr>
          <w:b/>
          <w:bCs/>
          <w:spacing w:val="-3"/>
          <w:sz w:val="24"/>
          <w:szCs w:val="24"/>
        </w:rPr>
        <w:t>opiekę</w:t>
      </w:r>
      <w:r w:rsidR="00AC3FE6" w:rsidRPr="00AC3FE6">
        <w:rPr>
          <w:b/>
          <w:bCs/>
          <w:spacing w:val="-3"/>
          <w:sz w:val="24"/>
          <w:szCs w:val="24"/>
        </w:rPr>
        <w:t xml:space="preserve"> serwisową oprogramowania administracyjnego InfoMedica/AMMS produkcji Asseco S.A. wraz z niezbędnym do jego pracy oprogramowaniem systemowym.</w:t>
      </w:r>
    </w:p>
    <w:p w:rsidR="00C501A8" w:rsidRDefault="00CF37C0" w:rsidP="002F35CF">
      <w:pPr>
        <w:shd w:val="clear" w:color="auto" w:fill="FFFFFF"/>
        <w:tabs>
          <w:tab w:val="left" w:leader="underscore" w:pos="9461"/>
        </w:tabs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B72EC8" w:rsidP="002F35CF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  <w:r w:rsidR="0068610D">
        <w:rPr>
          <w:rFonts w:eastAsia="Calibri"/>
          <w:sz w:val="24"/>
          <w:szCs w:val="24"/>
          <w:lang w:eastAsia="en-US"/>
        </w:rPr>
        <w:t xml:space="preserve"> </w:t>
      </w:r>
    </w:p>
    <w:p w:rsidR="00330012" w:rsidRPr="00330012" w:rsidRDefault="004F3960" w:rsidP="004F3960">
      <w:pPr>
        <w:widowControl/>
        <w:autoSpaceDE/>
        <w:autoSpaceDN/>
        <w:adjustRightInd/>
        <w:spacing w:after="160" w:line="259" w:lineRule="auto"/>
        <w:ind w:left="426" w:hanging="426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       </w:t>
      </w:r>
      <w:r w:rsidR="00330012" w:rsidRPr="00330012">
        <w:rPr>
          <w:rFonts w:eastAsia="Calibri"/>
          <w:kern w:val="2"/>
          <w:sz w:val="24"/>
          <w:szCs w:val="24"/>
          <w:lang w:eastAsia="en-US"/>
        </w:rPr>
        <w:t>Przedmiotem zamówienia jest objęcie opieką serwisową oprogramowania administracyjnego InfoMedica</w:t>
      </w:r>
      <w:r w:rsidR="00C410F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330012" w:rsidRPr="00330012">
        <w:rPr>
          <w:rFonts w:eastAsia="Calibri"/>
          <w:kern w:val="2"/>
          <w:sz w:val="24"/>
          <w:szCs w:val="24"/>
          <w:lang w:eastAsia="en-US"/>
        </w:rPr>
        <w:t>/</w:t>
      </w:r>
      <w:r w:rsidR="00C410F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330012" w:rsidRPr="00330012">
        <w:rPr>
          <w:rFonts w:eastAsia="Calibri"/>
          <w:kern w:val="2"/>
          <w:sz w:val="24"/>
          <w:szCs w:val="24"/>
          <w:lang w:eastAsia="en-US"/>
        </w:rPr>
        <w:t>AMMS produkcji Asseco S.A. wraz z niezbędnym do jego pracy oprogramowaniem systemowym.</w:t>
      </w:r>
    </w:p>
    <w:p w:rsidR="00330012" w:rsidRPr="00330012" w:rsidRDefault="004F3960" w:rsidP="004864E0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       </w:t>
      </w:r>
      <w:r w:rsidR="00330012" w:rsidRPr="00330012">
        <w:rPr>
          <w:rFonts w:eastAsia="Calibri"/>
          <w:kern w:val="2"/>
          <w:sz w:val="24"/>
          <w:szCs w:val="24"/>
          <w:lang w:eastAsia="en-US"/>
        </w:rPr>
        <w:t>W zakresie: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Instalowanie oraz wdrażanie nowych wersji Oprogramowania Aplikacyjnego otrzymanego w ramach świadczeń z tytułu nadzoru autorskiego w tym przeszkalanie pracowników </w:t>
      </w:r>
      <w:r w:rsidR="004864E0">
        <w:rPr>
          <w:rFonts w:eastAsia="Calibri"/>
          <w:kern w:val="2"/>
          <w:sz w:val="24"/>
          <w:szCs w:val="24"/>
          <w:lang w:eastAsia="en-US"/>
        </w:rPr>
        <w:br/>
      </w:r>
      <w:r w:rsidRPr="00330012">
        <w:rPr>
          <w:rFonts w:eastAsia="Calibri"/>
          <w:kern w:val="2"/>
          <w:sz w:val="24"/>
          <w:szCs w:val="24"/>
          <w:lang w:eastAsia="en-US"/>
        </w:rPr>
        <w:t xml:space="preserve">z nowych wersji oprogramowania.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Usuwanie awarii Oprogramowania Aplikacyjnego powstałych z winy Zamawiającego lub </w:t>
      </w:r>
      <w:r w:rsidRPr="00330012">
        <w:rPr>
          <w:rFonts w:eastAsia="Calibri"/>
          <w:kern w:val="2"/>
          <w:sz w:val="24"/>
          <w:szCs w:val="24"/>
          <w:lang w:eastAsia="en-US"/>
        </w:rPr>
        <w:br/>
        <w:t xml:space="preserve">w skutek wypadków losowych.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Bieżące usuwanie awarii oprogramowania, usterek w zbiorach oraz usterek w zbiorach zgromadzonych danych powstałych z winy Zamawiającego lub wskutek wypadków losowych (niezależnie od Zamawiającego).</w:t>
      </w:r>
    </w:p>
    <w:p w:rsidR="00330012" w:rsidRPr="00330012" w:rsidRDefault="00330012" w:rsidP="00F042A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Dostęp do internetowej platformy zgłoszeniowej umożliwiającej:</w:t>
      </w:r>
      <w:r w:rsidRPr="00330012">
        <w:rPr>
          <w:rFonts w:eastAsia="Calibri"/>
          <w:kern w:val="2"/>
          <w:sz w:val="24"/>
          <w:szCs w:val="24"/>
          <w:lang w:eastAsia="en-US"/>
        </w:rPr>
        <w:br/>
        <w:t>• zgłaszanie awarii i usterek oprogramowania oraz monitoro</w:t>
      </w:r>
      <w:r w:rsidR="004864E0">
        <w:rPr>
          <w:rFonts w:eastAsia="Calibri"/>
          <w:kern w:val="2"/>
          <w:sz w:val="24"/>
          <w:szCs w:val="24"/>
          <w:lang w:eastAsia="en-US"/>
        </w:rPr>
        <w:t>wania statusu ich realizacji,</w:t>
      </w:r>
      <w:r w:rsidR="004864E0">
        <w:rPr>
          <w:rFonts w:eastAsia="Calibri"/>
          <w:kern w:val="2"/>
          <w:sz w:val="24"/>
          <w:szCs w:val="24"/>
          <w:lang w:eastAsia="en-US"/>
        </w:rPr>
        <w:br/>
        <w:t xml:space="preserve">• </w:t>
      </w:r>
      <w:r w:rsidRPr="00330012">
        <w:rPr>
          <w:rFonts w:eastAsia="Calibri"/>
          <w:kern w:val="2"/>
          <w:sz w:val="24"/>
          <w:szCs w:val="24"/>
          <w:lang w:eastAsia="en-US"/>
        </w:rPr>
        <w:t xml:space="preserve">zgłaszanie błędów, </w:t>
      </w:r>
      <w:r w:rsidRPr="00330012">
        <w:rPr>
          <w:rFonts w:eastAsia="Calibri"/>
          <w:kern w:val="2"/>
          <w:sz w:val="24"/>
          <w:szCs w:val="24"/>
          <w:lang w:eastAsia="en-US"/>
        </w:rPr>
        <w:br/>
        <w:t>• udzielanie porad i konsultacji</w:t>
      </w:r>
      <w:r w:rsidRPr="00330012">
        <w:rPr>
          <w:rFonts w:eastAsia="Calibri"/>
          <w:kern w:val="2"/>
          <w:sz w:val="24"/>
          <w:szCs w:val="24"/>
          <w:lang w:eastAsia="en-US"/>
        </w:rPr>
        <w:br/>
        <w:t>Dostęp odbywa się na podstawie indywidualnych kont dla osób/administratorów oprogramowania. W ramach umowy można zgłosić co najmniej 3 osoby upoważnione do wykonywania zgłoszeń.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Możliwość korzystania z konsultacji telefonicznych, e-mail</w:t>
      </w:r>
      <w:r w:rsidR="00540A21">
        <w:rPr>
          <w:rFonts w:eastAsia="Calibri"/>
          <w:kern w:val="2"/>
          <w:sz w:val="24"/>
          <w:szCs w:val="24"/>
          <w:lang w:eastAsia="en-US"/>
        </w:rPr>
        <w:t>.</w:t>
      </w:r>
      <w:r w:rsidRPr="00330012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Możliwość korzystania z wizyt osobistych w siedzibie Zamawiającego z pracownikami</w:t>
      </w:r>
    </w:p>
    <w:p w:rsidR="00330012" w:rsidRPr="00330012" w:rsidRDefault="00330012" w:rsidP="004864E0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certyfikowanymi w zakresie obsługi i konfiguracji modułów.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Doradztwo w zakresie rozbudowy środków informatycznych, wykonywanie ponownych lub dodatkowych instalacji oprogramowania objętego niniejszą umową.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Doradztwo i udzielania konsultacji w zakresie podejmowania przez Zamawiającego kolejnych przedsięwzięć informatycznych,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Doradztwo w zakresie prawidłowości składowania i zabezpieczania danych gromadzonych za pomocą oprogramowania objętego niniejszą umową.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Prowadzenie rejestru kontaktów z Zamawiającym, obejmującego wizyty serwisowe</w:t>
      </w:r>
      <w:r w:rsidRPr="00330012">
        <w:rPr>
          <w:rFonts w:eastAsia="Calibri"/>
          <w:kern w:val="2"/>
          <w:sz w:val="24"/>
          <w:szCs w:val="24"/>
          <w:lang w:eastAsia="en-US"/>
        </w:rPr>
        <w:br/>
        <w:t xml:space="preserve">i wykonane czynności, w tym zmiany konfigurowania oprogramowania. </w:t>
      </w:r>
    </w:p>
    <w:p w:rsidR="00330012" w:rsidRPr="00330012" w:rsidRDefault="00330012" w:rsidP="004864E0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konfiguracji oprogramowania operacyjnego i dostosowanie do potrzeb oprogramowania firmy Asseco Poland S.A objętego umową; </w:t>
      </w:r>
    </w:p>
    <w:p w:rsidR="00330012" w:rsidRPr="00330012" w:rsidRDefault="00330012" w:rsidP="004864E0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330012" w:rsidRPr="00330012" w:rsidRDefault="00330012" w:rsidP="004864E0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W ramach usług opieki serwisowej Wykonawca zobowiązuje się, że od momentu przyjęcia Zgłoszenia przez Wykonawcę, do momentu rozpoczęcia realizacji Zgłoszenia Zamawiającego nie upłynie więcej niż 48 godz., z wyłączeniem sobót, niedziel i dni ustawo wolnych od pracy. </w:t>
      </w:r>
    </w:p>
    <w:p w:rsidR="00330012" w:rsidRPr="00330012" w:rsidRDefault="00330012" w:rsidP="004864E0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Czynności opieki serwisowej objęte niniejszą umową, Wykonawca realizuje od poniedziałku do piątku, w godzinach od 8:00 – 16:00. Zgłoszenia interwencji serwisowych przesłane przez Zamawiającego zarejestrowane po godz. 16:00 traktowane są jako Zgłoszenie z datą dnia następnego o 8:00.</w:t>
      </w:r>
    </w:p>
    <w:p w:rsidR="00330012" w:rsidRPr="00330012" w:rsidRDefault="00330012" w:rsidP="004864E0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Wykonawca zobowiązuje się do świadczenia usług opieki serwisowej zarówno w formie zdalnej jak i w siedzibie Zamawiającego w wymiarze 36 godzin na 3 miesiące począwszy od daty obowiązywania niniejszej Umowy. Czas poświęcony na realizację usług, o którym mowa powyżej rozliczany będzie na koniec 3 miesięcznego okresu o ile przekroczenie czasu nie nastąpi wcześniej. Po przekroczeniu w/w wymiaru godzin, czynności opieki serwisowej zdalne lub w siedzibie Zamawiającego, rozliczane będą kwotą, podaną przez Wykonawcę, którego oferta zostanie wybrana jako najkorzystniejsza </w:t>
      </w:r>
    </w:p>
    <w:p w:rsidR="00330012" w:rsidRPr="00330012" w:rsidRDefault="00330012" w:rsidP="004864E0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Zgłoszenia przyjmowane będą poprzez platformę elektroniczną. </w:t>
      </w:r>
    </w:p>
    <w:p w:rsidR="00330012" w:rsidRPr="00330012" w:rsidRDefault="00330012" w:rsidP="004864E0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Serwisanci przydzieleni do obsługi muszą posiadać ważne certyfikaty autoryzacyjne producenta oprogramowania Asseco Poland S.A.</w:t>
      </w:r>
      <w:r w:rsidRPr="00330012">
        <w:rPr>
          <w:rFonts w:eastAsia="Calibri"/>
          <w:kern w:val="2"/>
          <w:sz w:val="24"/>
          <w:szCs w:val="24"/>
          <w:lang w:eastAsia="en-US"/>
        </w:rPr>
        <w:br/>
      </w:r>
    </w:p>
    <w:p w:rsidR="00330012" w:rsidRPr="00330012" w:rsidRDefault="00330012" w:rsidP="004864E0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Zamawiający zobowiązany jest do :</w:t>
      </w:r>
    </w:p>
    <w:p w:rsidR="00330012" w:rsidRPr="00330012" w:rsidRDefault="00330012" w:rsidP="004864E0">
      <w:pPr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 xml:space="preserve">dokonywania czynności zaleconych przez Wykonawcę, w szczególności czynności związanych z bezpieczeństwem pracy systemu; </w:t>
      </w:r>
    </w:p>
    <w:p w:rsidR="00330012" w:rsidRPr="00330012" w:rsidRDefault="00330012" w:rsidP="004864E0">
      <w:pPr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nie dokonywania bez zgody Wykonawcy żadnych zmian w konfiguracji oprogramowania</w:t>
      </w:r>
      <w:r w:rsidR="004864E0">
        <w:rPr>
          <w:rFonts w:eastAsia="Calibri"/>
          <w:kern w:val="2"/>
          <w:sz w:val="24"/>
          <w:szCs w:val="24"/>
          <w:lang w:eastAsia="en-US"/>
        </w:rPr>
        <w:br/>
      </w:r>
      <w:r w:rsidRPr="00330012">
        <w:rPr>
          <w:rFonts w:eastAsia="Calibri"/>
          <w:kern w:val="2"/>
          <w:sz w:val="24"/>
          <w:szCs w:val="24"/>
          <w:lang w:eastAsia="en-US"/>
        </w:rPr>
        <w:t xml:space="preserve"> i sprzętu komputerowego, na którym wykorzystywane jest oprogramowanie objęte niniejszą Umową.</w:t>
      </w:r>
    </w:p>
    <w:p w:rsidR="00330012" w:rsidRPr="00330012" w:rsidRDefault="00330012" w:rsidP="004864E0">
      <w:pPr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330012">
        <w:rPr>
          <w:rFonts w:eastAsia="Calibri"/>
          <w:kern w:val="2"/>
          <w:sz w:val="24"/>
          <w:szCs w:val="24"/>
          <w:lang w:eastAsia="en-US"/>
        </w:rPr>
        <w:t>zapewnienia zdalnego dostępu do oprogramowania, o ile wykonawca zgłosi taką konieczność.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="008F4456">
        <w:rPr>
          <w:rFonts w:eastAsia="Calibri"/>
          <w:sz w:val="24"/>
          <w:szCs w:val="24"/>
          <w:lang w:eastAsia="en-US"/>
        </w:rPr>
        <w:t>,</w:t>
      </w:r>
      <w:r w:rsidR="00A74874">
        <w:rPr>
          <w:rFonts w:eastAsia="Calibri"/>
          <w:sz w:val="24"/>
          <w:szCs w:val="24"/>
          <w:lang w:eastAsia="en-US"/>
        </w:rPr>
        <w:t xml:space="preserve"> </w:t>
      </w:r>
      <w:r w:rsidR="008F4456">
        <w:rPr>
          <w:rFonts w:eastAsia="Calibri"/>
          <w:sz w:val="24"/>
          <w:szCs w:val="24"/>
          <w:lang w:eastAsia="en-US"/>
        </w:rPr>
        <w:t>3 i 4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B838B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B838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8F4456">
        <w:rPr>
          <w:sz w:val="24"/>
          <w:szCs w:val="24"/>
        </w:rPr>
        <w:t>ór umowy stanowi załącznik nr. 5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B838BD" w:rsidRPr="00CB6157" w:rsidRDefault="00726B0B" w:rsidP="00CB6157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B6157">
        <w:rPr>
          <w:sz w:val="24"/>
          <w:szCs w:val="24"/>
        </w:rPr>
        <w:t>wypełniony i podpisany przez Wykonawcę formularz ofertowy – wg. załączonego wzoru formularza ofertowego, (załącznik nr 1)</w:t>
      </w:r>
    </w:p>
    <w:p w:rsidR="00726B0B" w:rsidRDefault="009C08B1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38BD">
        <w:rPr>
          <w:sz w:val="24"/>
          <w:szCs w:val="24"/>
        </w:rPr>
        <w:t xml:space="preserve">) </w:t>
      </w:r>
      <w:r w:rsidR="00726B0B" w:rsidRPr="007F6356">
        <w:rPr>
          <w:sz w:val="24"/>
          <w:szCs w:val="24"/>
        </w:rPr>
        <w:t>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9C08B1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</w:t>
      </w:r>
      <w:r w:rsidRPr="00613EA7">
        <w:rPr>
          <w:sz w:val="24"/>
          <w:szCs w:val="24"/>
        </w:rPr>
        <w:lastRenderedPageBreak/>
        <w:t>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9E4DE9">
        <w:rPr>
          <w:sz w:val="24"/>
          <w:szCs w:val="24"/>
        </w:rPr>
        <w:t>postępowania</w:t>
      </w:r>
      <w:r w:rsidR="00030F28">
        <w:rPr>
          <w:sz w:val="24"/>
          <w:szCs w:val="24"/>
        </w:rPr>
        <w:t xml:space="preserve"> jest Pani / Pan </w:t>
      </w:r>
      <w:r w:rsidR="00726B0B">
        <w:rPr>
          <w:sz w:val="24"/>
          <w:szCs w:val="24"/>
        </w:rPr>
        <w:t>Jacek Wlazło</w:t>
      </w:r>
      <w:r w:rsidR="009E4DE9">
        <w:rPr>
          <w:sz w:val="24"/>
          <w:szCs w:val="24"/>
        </w:rPr>
        <w:t xml:space="preserve"> i Marek Głąb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Default="003767D5" w:rsidP="009E4DE9">
      <w:pPr>
        <w:shd w:val="clear" w:color="auto" w:fill="FFFFFF"/>
        <w:tabs>
          <w:tab w:val="left" w:leader="underscore" w:pos="9461"/>
        </w:tabs>
        <w:ind w:left="379"/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  <w:r w:rsidR="009E4DE9">
        <w:rPr>
          <w:rStyle w:val="Hipercze"/>
          <w:sz w:val="24"/>
          <w:szCs w:val="24"/>
        </w:rPr>
        <w:t xml:space="preserve"> </w:t>
      </w:r>
    </w:p>
    <w:p w:rsidR="009E4DE9" w:rsidRDefault="009E4DE9" w:rsidP="009E4DE9">
      <w:pPr>
        <w:shd w:val="clear" w:color="auto" w:fill="FFFFFF"/>
        <w:tabs>
          <w:tab w:val="left" w:leader="underscore" w:pos="9461"/>
        </w:tabs>
        <w:ind w:left="379"/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>tel.  016 649 15 28</w:t>
      </w:r>
      <w:r w:rsidRPr="00CE5D2E">
        <w:rPr>
          <w:sz w:val="24"/>
          <w:szCs w:val="24"/>
        </w:rPr>
        <w:t xml:space="preserve">, email. </w:t>
      </w:r>
      <w:hyperlink r:id="rId11" w:history="1">
        <w:r w:rsidR="002F5ADA" w:rsidRPr="0014554B">
          <w:rPr>
            <w:rStyle w:val="Hipercze"/>
            <w:sz w:val="24"/>
            <w:szCs w:val="24"/>
          </w:rPr>
          <w:t>it@spzoz-przeworsk.pl</w:t>
        </w:r>
      </w:hyperlink>
      <w:r>
        <w:rPr>
          <w:rStyle w:val="Hipercze"/>
          <w:sz w:val="24"/>
          <w:szCs w:val="24"/>
        </w:rPr>
        <w:t xml:space="preserve"> </w:t>
      </w:r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3F431D">
      <w:pPr>
        <w:shd w:val="clear" w:color="auto" w:fill="FFFFFF"/>
        <w:tabs>
          <w:tab w:val="left" w:leader="underscore" w:pos="9461"/>
        </w:tabs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0D7927">
        <w:rPr>
          <w:b/>
          <w:sz w:val="24"/>
          <w:szCs w:val="24"/>
          <w:u w:val="single"/>
        </w:rPr>
        <w:t>11</w:t>
      </w:r>
      <w:r w:rsidR="00F21AF0">
        <w:rPr>
          <w:b/>
          <w:sz w:val="24"/>
          <w:szCs w:val="24"/>
          <w:u w:val="single"/>
        </w:rPr>
        <w:t>.07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820B54">
      <w:pPr>
        <w:shd w:val="clear" w:color="auto" w:fill="FFFFFF"/>
        <w:tabs>
          <w:tab w:val="left" w:leader="underscore" w:pos="9461"/>
        </w:tabs>
        <w:ind w:left="426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0B6D90">
        <w:rPr>
          <w:sz w:val="24"/>
          <w:szCs w:val="24"/>
        </w:rPr>
        <w:t xml:space="preserve"> </w:t>
      </w:r>
      <w:r w:rsidR="00CA2FE1">
        <w:rPr>
          <w:iCs/>
          <w:sz w:val="24"/>
          <w:szCs w:val="24"/>
        </w:rPr>
        <w:t>„</w:t>
      </w:r>
      <w:r w:rsidR="00820B54">
        <w:rPr>
          <w:iCs/>
          <w:sz w:val="24"/>
          <w:szCs w:val="24"/>
        </w:rPr>
        <w:t>Opieka serwisowa</w:t>
      </w:r>
      <w:r w:rsidR="00820B54" w:rsidRPr="00820B54">
        <w:rPr>
          <w:iCs/>
          <w:sz w:val="24"/>
          <w:szCs w:val="24"/>
        </w:rPr>
        <w:t xml:space="preserve"> oprogramowania administracyjnego InfoMedica/AMMS produkcji Asseco S.A. wraz z niezbędnym do jego p</w:t>
      </w:r>
      <w:r w:rsidR="003E3195">
        <w:rPr>
          <w:iCs/>
          <w:sz w:val="24"/>
          <w:szCs w:val="24"/>
        </w:rPr>
        <w:t>racy oprogramowaniem systemowym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B6D90">
        <w:rPr>
          <w:sz w:val="24"/>
          <w:szCs w:val="24"/>
        </w:rPr>
        <w:t xml:space="preserve"> </w:t>
      </w:r>
      <w:r w:rsidR="000D7927">
        <w:rPr>
          <w:sz w:val="24"/>
          <w:szCs w:val="24"/>
        </w:rPr>
        <w:t>11</w:t>
      </w:r>
      <w:r w:rsidR="00F21AF0">
        <w:rPr>
          <w:sz w:val="24"/>
          <w:szCs w:val="24"/>
        </w:rPr>
        <w:t>.07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0D7927">
        <w:rPr>
          <w:b/>
          <w:sz w:val="24"/>
          <w:szCs w:val="24"/>
          <w:u w:val="single"/>
        </w:rPr>
        <w:t>11</w:t>
      </w:r>
      <w:r w:rsidR="00F21AF0">
        <w:rPr>
          <w:b/>
          <w:sz w:val="24"/>
          <w:szCs w:val="24"/>
          <w:u w:val="single"/>
        </w:rPr>
        <w:t>.07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B03B00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B03B00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w rozumieniu art. 3 ust. 1 pkt 37 ustawy z dnia 29 </w:t>
      </w:r>
      <w:r w:rsidR="00B03B00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B03B00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od dnia 24 lutego 2022 r., o ile został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2F5ADA" w:rsidRPr="002F5ADA" w:rsidRDefault="00D160A4" w:rsidP="00B143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B1436A" w:rsidRPr="00B1436A">
        <w:rPr>
          <w:rFonts w:eastAsia="HG Mincho Light J"/>
          <w:bCs/>
          <w:iCs/>
          <w:sz w:val="24"/>
          <w:szCs w:val="24"/>
        </w:rPr>
        <w:t>opiekę serwisową</w:t>
      </w:r>
    </w:p>
    <w:p w:rsidR="002F5ADA" w:rsidRPr="002F5ADA" w:rsidRDefault="002F5ADA" w:rsidP="002F5ADA">
      <w:pPr>
        <w:suppressAutoHyphens/>
        <w:ind w:left="720"/>
        <w:jc w:val="both"/>
        <w:rPr>
          <w:rFonts w:eastAsia="HG Mincho Light J"/>
          <w:bCs/>
          <w:sz w:val="24"/>
          <w:szCs w:val="24"/>
        </w:rPr>
      </w:pPr>
    </w:p>
    <w:p w:rsidR="00D160A4" w:rsidRPr="00D160A4" w:rsidRDefault="00B1436A" w:rsidP="00B143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B1436A">
        <w:rPr>
          <w:rFonts w:eastAsia="HG Mincho Light J"/>
          <w:bCs/>
          <w:iCs/>
          <w:sz w:val="24"/>
          <w:szCs w:val="24"/>
        </w:rPr>
        <w:t xml:space="preserve"> oprogramowania administracyjnego InfoMedica/AMMS produkcji Asseco S.A. wraz z niezbędnym do jego p</w:t>
      </w:r>
      <w:r>
        <w:rPr>
          <w:rFonts w:eastAsia="HG Mincho Light J"/>
          <w:bCs/>
          <w:iCs/>
          <w:sz w:val="24"/>
          <w:szCs w:val="24"/>
        </w:rPr>
        <w:t>racy oprogramowaniem systemowym’’</w:t>
      </w:r>
      <w:r w:rsidR="00B827CA" w:rsidRPr="00B827CA">
        <w:rPr>
          <w:rFonts w:eastAsia="HG Mincho Light J"/>
          <w:bCs/>
          <w:iCs/>
          <w:sz w:val="24"/>
          <w:szCs w:val="24"/>
        </w:rPr>
        <w:t xml:space="preserve"> </w:t>
      </w:r>
      <w:r w:rsidR="00D160A4" w:rsidRPr="00D160A4">
        <w:rPr>
          <w:rFonts w:eastAsia="HG Mincho Light J"/>
          <w:bCs/>
          <w:sz w:val="24"/>
          <w:szCs w:val="24"/>
        </w:rPr>
        <w:t>numer SPZOZ.IINZZP.26</w:t>
      </w:r>
      <w:r>
        <w:rPr>
          <w:rFonts w:eastAsia="HG Mincho Light J"/>
          <w:bCs/>
          <w:sz w:val="24"/>
          <w:szCs w:val="24"/>
        </w:rPr>
        <w:t>0/23</w:t>
      </w:r>
      <w:r w:rsidR="00D160A4">
        <w:rPr>
          <w:rFonts w:eastAsia="HG Mincho Light J"/>
          <w:bCs/>
          <w:sz w:val="24"/>
          <w:szCs w:val="24"/>
        </w:rPr>
        <w:t>/23</w:t>
      </w:r>
      <w:r w:rsidR="00D160A4"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1A4769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modułów oprogramowania</w:t>
      </w:r>
    </w:p>
    <w:p w:rsidR="00F21AF0" w:rsidRDefault="001A4769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osób</w:t>
      </w:r>
    </w:p>
    <w:p w:rsidR="001A4769" w:rsidRDefault="001A4769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Procesy krytyczne 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E6323"/>
    <w:multiLevelType w:val="hybridMultilevel"/>
    <w:tmpl w:val="D0D0727A"/>
    <w:lvl w:ilvl="0" w:tplc="7C728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A612A"/>
    <w:multiLevelType w:val="hybridMultilevel"/>
    <w:tmpl w:val="F1BA3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4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3E52"/>
    <w:multiLevelType w:val="hybridMultilevel"/>
    <w:tmpl w:val="175C9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7D8D590A"/>
    <w:multiLevelType w:val="hybridMultilevel"/>
    <w:tmpl w:val="C1849EF6"/>
    <w:lvl w:ilvl="0" w:tplc="515C990A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3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4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12"/>
  </w:num>
  <w:num w:numId="24">
    <w:abstractNumId w:val="7"/>
  </w:num>
  <w:num w:numId="25">
    <w:abstractNumId w:val="11"/>
  </w:num>
  <w:num w:numId="26">
    <w:abstractNumId w:val="30"/>
  </w:num>
  <w:num w:numId="27">
    <w:abstractNumId w:val="28"/>
  </w:num>
  <w:num w:numId="28">
    <w:abstractNumId w:val="8"/>
  </w:num>
  <w:num w:numId="29">
    <w:abstractNumId w:val="27"/>
  </w:num>
  <w:num w:numId="30">
    <w:abstractNumId w:val="29"/>
  </w:num>
  <w:num w:numId="31">
    <w:abstractNumId w:val="20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962"/>
    <w:rsid w:val="00030F28"/>
    <w:rsid w:val="00032D67"/>
    <w:rsid w:val="0003563D"/>
    <w:rsid w:val="00053E4D"/>
    <w:rsid w:val="00055050"/>
    <w:rsid w:val="0005714B"/>
    <w:rsid w:val="000650D5"/>
    <w:rsid w:val="00071495"/>
    <w:rsid w:val="000A716C"/>
    <w:rsid w:val="000B1D12"/>
    <w:rsid w:val="000B3F3B"/>
    <w:rsid w:val="000B6D90"/>
    <w:rsid w:val="000C1B74"/>
    <w:rsid w:val="000D21BD"/>
    <w:rsid w:val="000D2AB5"/>
    <w:rsid w:val="000D7927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959F2"/>
    <w:rsid w:val="00196D12"/>
    <w:rsid w:val="001A4769"/>
    <w:rsid w:val="001A4FD7"/>
    <w:rsid w:val="001E4837"/>
    <w:rsid w:val="001F0D24"/>
    <w:rsid w:val="001F33D7"/>
    <w:rsid w:val="001F4266"/>
    <w:rsid w:val="001F69FB"/>
    <w:rsid w:val="00202FA9"/>
    <w:rsid w:val="002064E4"/>
    <w:rsid w:val="002123B6"/>
    <w:rsid w:val="00217165"/>
    <w:rsid w:val="00220E1F"/>
    <w:rsid w:val="0022240D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35CF"/>
    <w:rsid w:val="002F5636"/>
    <w:rsid w:val="002F5ADA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0012"/>
    <w:rsid w:val="00334760"/>
    <w:rsid w:val="0034511E"/>
    <w:rsid w:val="00354034"/>
    <w:rsid w:val="003552D5"/>
    <w:rsid w:val="00356284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1BC7"/>
    <w:rsid w:val="003C5B25"/>
    <w:rsid w:val="003D0F3E"/>
    <w:rsid w:val="003D1616"/>
    <w:rsid w:val="003D76B4"/>
    <w:rsid w:val="003D7A3F"/>
    <w:rsid w:val="003E1312"/>
    <w:rsid w:val="003E1FAE"/>
    <w:rsid w:val="003E3195"/>
    <w:rsid w:val="003F431D"/>
    <w:rsid w:val="0040075D"/>
    <w:rsid w:val="0040352E"/>
    <w:rsid w:val="004120E5"/>
    <w:rsid w:val="00414EE8"/>
    <w:rsid w:val="00415FB8"/>
    <w:rsid w:val="00434B8D"/>
    <w:rsid w:val="00447C39"/>
    <w:rsid w:val="00447DC9"/>
    <w:rsid w:val="00477294"/>
    <w:rsid w:val="00484BC3"/>
    <w:rsid w:val="004864E0"/>
    <w:rsid w:val="00487968"/>
    <w:rsid w:val="004A2358"/>
    <w:rsid w:val="004A6AE5"/>
    <w:rsid w:val="004B1105"/>
    <w:rsid w:val="004B1CA6"/>
    <w:rsid w:val="004C68A8"/>
    <w:rsid w:val="004D0B4D"/>
    <w:rsid w:val="004F3960"/>
    <w:rsid w:val="004F546A"/>
    <w:rsid w:val="00540A21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B2F82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47872"/>
    <w:rsid w:val="00671066"/>
    <w:rsid w:val="00674FCD"/>
    <w:rsid w:val="00676560"/>
    <w:rsid w:val="00683785"/>
    <w:rsid w:val="00683CDE"/>
    <w:rsid w:val="00685172"/>
    <w:rsid w:val="0068610D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A2C71"/>
    <w:rsid w:val="007B73E3"/>
    <w:rsid w:val="007C09C5"/>
    <w:rsid w:val="007C40F3"/>
    <w:rsid w:val="007D05F1"/>
    <w:rsid w:val="007D17EC"/>
    <w:rsid w:val="007F328E"/>
    <w:rsid w:val="0080134E"/>
    <w:rsid w:val="0080365A"/>
    <w:rsid w:val="00811426"/>
    <w:rsid w:val="00815767"/>
    <w:rsid w:val="00820B54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8F4456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91EAE"/>
    <w:rsid w:val="009A094A"/>
    <w:rsid w:val="009A7168"/>
    <w:rsid w:val="009B05A3"/>
    <w:rsid w:val="009B46E3"/>
    <w:rsid w:val="009B6525"/>
    <w:rsid w:val="009C040E"/>
    <w:rsid w:val="009C08B1"/>
    <w:rsid w:val="009C3BA6"/>
    <w:rsid w:val="009D07B1"/>
    <w:rsid w:val="009D239F"/>
    <w:rsid w:val="009E375D"/>
    <w:rsid w:val="009E4DE9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732E9"/>
    <w:rsid w:val="00A74874"/>
    <w:rsid w:val="00A97F6A"/>
    <w:rsid w:val="00AA5F86"/>
    <w:rsid w:val="00AB2331"/>
    <w:rsid w:val="00AB2597"/>
    <w:rsid w:val="00AB4E8B"/>
    <w:rsid w:val="00AC3FE6"/>
    <w:rsid w:val="00AD7FC6"/>
    <w:rsid w:val="00AF2A20"/>
    <w:rsid w:val="00B0270F"/>
    <w:rsid w:val="00B03B00"/>
    <w:rsid w:val="00B121CD"/>
    <w:rsid w:val="00B1436A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827CA"/>
    <w:rsid w:val="00B838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0F8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B6157"/>
    <w:rsid w:val="00CC008C"/>
    <w:rsid w:val="00CC0294"/>
    <w:rsid w:val="00CC1A29"/>
    <w:rsid w:val="00CC1C7E"/>
    <w:rsid w:val="00CC2479"/>
    <w:rsid w:val="00CC53BC"/>
    <w:rsid w:val="00CC6CC5"/>
    <w:rsid w:val="00CD170E"/>
    <w:rsid w:val="00CD7AF3"/>
    <w:rsid w:val="00CE1F31"/>
    <w:rsid w:val="00CE2AA4"/>
    <w:rsid w:val="00CE5D2E"/>
    <w:rsid w:val="00CF1B6B"/>
    <w:rsid w:val="00CF31D7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8227B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03C3B"/>
    <w:rsid w:val="00E06C61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2A0"/>
    <w:rsid w:val="00F0453A"/>
    <w:rsid w:val="00F151AF"/>
    <w:rsid w:val="00F21AF0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C68F-9B5F-4929-AAB2-A3F39498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2089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971</cp:revision>
  <cp:lastPrinted>2023-06-19T06:45:00Z</cp:lastPrinted>
  <dcterms:created xsi:type="dcterms:W3CDTF">2019-08-05T07:28:00Z</dcterms:created>
  <dcterms:modified xsi:type="dcterms:W3CDTF">2023-07-06T11:13:00Z</dcterms:modified>
</cp:coreProperties>
</file>